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097" w:rsidRDefault="00A51097" w:rsidP="00A51097">
      <w:pPr>
        <w:tabs>
          <w:tab w:val="left" w:pos="4253"/>
        </w:tabs>
        <w:spacing w:line="360" w:lineRule="auto"/>
        <w:ind w:right="23"/>
        <w:jc w:val="center"/>
        <w:rPr>
          <w:rFonts w:ascii="Arial" w:hAnsi="Arial" w:cs="Arial"/>
          <w:b/>
        </w:rPr>
      </w:pPr>
      <w:r w:rsidRPr="0003227D">
        <w:rPr>
          <w:rFonts w:ascii="Arial" w:hAnsi="Arial" w:cs="Arial"/>
          <w:b/>
        </w:rPr>
        <w:t>WYCIĄG Z PROJEKTU BUDOWLANEGO DOTYCZĄCY PROBLEMATYKI PO</w:t>
      </w:r>
      <w:r>
        <w:rPr>
          <w:rFonts w:ascii="Arial" w:hAnsi="Arial" w:cs="Arial"/>
          <w:b/>
        </w:rPr>
        <w:t>Ż</w:t>
      </w:r>
      <w:r w:rsidRPr="0003227D">
        <w:rPr>
          <w:rFonts w:ascii="Arial" w:hAnsi="Arial" w:cs="Arial"/>
          <w:b/>
        </w:rPr>
        <w:t>AROWEJ</w:t>
      </w:r>
    </w:p>
    <w:p w:rsidR="00A51097" w:rsidRDefault="00A51097" w:rsidP="00A51097">
      <w:pPr>
        <w:tabs>
          <w:tab w:val="left" w:pos="4253"/>
        </w:tabs>
        <w:spacing w:line="360" w:lineRule="auto"/>
        <w:ind w:right="23"/>
        <w:jc w:val="center"/>
        <w:rPr>
          <w:rFonts w:ascii="Arial" w:hAnsi="Arial" w:cs="Arial"/>
          <w:b/>
        </w:rPr>
      </w:pPr>
    </w:p>
    <w:p w:rsidR="00A51097" w:rsidRPr="0003227D" w:rsidRDefault="00A51097" w:rsidP="00A51097">
      <w:pPr>
        <w:tabs>
          <w:tab w:val="left" w:pos="4253"/>
        </w:tabs>
        <w:spacing w:line="360" w:lineRule="auto"/>
        <w:ind w:right="23"/>
        <w:jc w:val="center"/>
        <w:rPr>
          <w:rFonts w:ascii="Arial" w:hAnsi="Arial" w:cs="Arial"/>
          <w:b/>
        </w:rPr>
      </w:pPr>
    </w:p>
    <w:p w:rsidR="00A51097" w:rsidRPr="00AE1205" w:rsidRDefault="00A51097" w:rsidP="00A51097">
      <w:pPr>
        <w:tabs>
          <w:tab w:val="left" w:pos="1418"/>
        </w:tabs>
        <w:spacing w:line="360" w:lineRule="auto"/>
        <w:ind w:left="1418" w:right="567"/>
        <w:jc w:val="both"/>
        <w:rPr>
          <w:rFonts w:ascii="Arial" w:hAnsi="Arial" w:cs="Arial"/>
          <w:b/>
        </w:rPr>
      </w:pPr>
      <w:r w:rsidRPr="00AE1205">
        <w:rPr>
          <w:rFonts w:ascii="Arial" w:hAnsi="Arial" w:cs="Arial"/>
          <w:b/>
        </w:rPr>
        <w:t>8. Problematyka zabezpieczeń przeciwpożarowych.</w:t>
      </w:r>
    </w:p>
    <w:p w:rsidR="00A51097" w:rsidRPr="00AE1205" w:rsidRDefault="00A51097" w:rsidP="00A51097">
      <w:pPr>
        <w:tabs>
          <w:tab w:val="num" w:pos="1080"/>
          <w:tab w:val="num" w:pos="4245"/>
        </w:tabs>
        <w:ind w:left="1418"/>
        <w:jc w:val="both"/>
        <w:rPr>
          <w:rFonts w:ascii="Arial" w:hAnsi="Arial" w:cs="Arial"/>
          <w:b/>
        </w:rPr>
      </w:pPr>
    </w:p>
    <w:p w:rsidR="00A51097" w:rsidRPr="00AE1205" w:rsidRDefault="00A51097" w:rsidP="00A51097">
      <w:pPr>
        <w:pStyle w:val="Tekstpodstawowywcity3"/>
        <w:tabs>
          <w:tab w:val="num" w:pos="900"/>
        </w:tabs>
        <w:ind w:left="1418" w:right="16" w:firstLine="0"/>
        <w:rPr>
          <w:rFonts w:ascii="Arial" w:hAnsi="Arial" w:cs="Arial"/>
        </w:rPr>
      </w:pPr>
      <w:r w:rsidRPr="00AE1205">
        <w:rPr>
          <w:rFonts w:ascii="Arial" w:hAnsi="Arial" w:cs="Arial"/>
        </w:rPr>
        <w:t xml:space="preserve">Istniejący zamek położony jest w Rezerwacie Przyrody „LIPOWIEC” jako trwała ruina wpisana do  oddalony od sąsiednich zabudowań o ponad 100m. Zamek to budowla składająca się z części zamku właściwego i części podzamcza w obrębie murów zewnętrznych. </w:t>
      </w:r>
    </w:p>
    <w:p w:rsidR="00A51097" w:rsidRPr="00AE1205" w:rsidRDefault="00A51097" w:rsidP="00A51097">
      <w:pPr>
        <w:tabs>
          <w:tab w:val="num" w:pos="900"/>
        </w:tabs>
        <w:ind w:left="1418"/>
        <w:jc w:val="both"/>
        <w:rPr>
          <w:rFonts w:ascii="Arial" w:hAnsi="Arial" w:cs="Arial"/>
          <w:b/>
        </w:rPr>
      </w:pPr>
      <w:r w:rsidRPr="00AE1205">
        <w:rPr>
          <w:rFonts w:ascii="Arial" w:hAnsi="Arial" w:cs="Arial"/>
        </w:rPr>
        <w:t>Na podzamczu w miejscu istniejących budynków gospodarczych projektuje się budynek w którym będzie zlokalizowany Punkt Obsługi Turystów.</w:t>
      </w:r>
    </w:p>
    <w:p w:rsidR="00A51097" w:rsidRPr="00AE1205" w:rsidRDefault="00A51097" w:rsidP="00A51097">
      <w:pPr>
        <w:pStyle w:val="Tekstpodstawowywcity3"/>
        <w:tabs>
          <w:tab w:val="num" w:pos="900"/>
        </w:tabs>
        <w:ind w:left="1418" w:right="612" w:firstLine="0"/>
        <w:rPr>
          <w:rFonts w:ascii="Arial" w:hAnsi="Arial" w:cs="Arial"/>
        </w:rPr>
      </w:pPr>
    </w:p>
    <w:p w:rsidR="00A51097" w:rsidRPr="00AE1205" w:rsidRDefault="00A51097" w:rsidP="00A51097">
      <w:pPr>
        <w:pStyle w:val="Akapitzlist"/>
        <w:numPr>
          <w:ilvl w:val="1"/>
          <w:numId w:val="3"/>
        </w:numPr>
        <w:autoSpaceDE w:val="0"/>
        <w:autoSpaceDN w:val="0"/>
        <w:adjustRightInd w:val="0"/>
        <w:spacing w:before="120"/>
        <w:jc w:val="both"/>
        <w:rPr>
          <w:rFonts w:ascii="Arial" w:hAnsi="Arial" w:cs="Arial"/>
          <w:b/>
        </w:rPr>
      </w:pPr>
      <w:r w:rsidRPr="00AE1205">
        <w:rPr>
          <w:rFonts w:ascii="Arial" w:hAnsi="Arial" w:cs="Arial"/>
          <w:b/>
        </w:rPr>
        <w:t>Informacje o powierzchni, wysokości i liczbie kondygnacji:</w:t>
      </w:r>
    </w:p>
    <w:p w:rsidR="00A51097" w:rsidRPr="00AE1205" w:rsidRDefault="00A51097" w:rsidP="00A51097">
      <w:pPr>
        <w:pStyle w:val="Akapitzlist"/>
        <w:ind w:left="1418"/>
        <w:jc w:val="both"/>
        <w:rPr>
          <w:rFonts w:ascii="Arial" w:hAnsi="Arial" w:cs="Arial"/>
        </w:rPr>
      </w:pPr>
      <w:r w:rsidRPr="00AE1205">
        <w:rPr>
          <w:rFonts w:ascii="Arial" w:hAnsi="Arial" w:cs="Arial"/>
        </w:rPr>
        <w:t>POT jest budynkiem jednokondygnacyjnym, niskim  został zaliczony do  kategorii zagrożenia ludzi ZLIII.</w:t>
      </w:r>
    </w:p>
    <w:p w:rsidR="00A51097" w:rsidRPr="00AE1205" w:rsidRDefault="00A51097" w:rsidP="00A51097">
      <w:pPr>
        <w:pStyle w:val="Akapitzlist"/>
        <w:ind w:left="1418"/>
        <w:jc w:val="both"/>
        <w:rPr>
          <w:rFonts w:ascii="Arial" w:hAnsi="Arial" w:cs="Arial"/>
        </w:rPr>
      </w:pPr>
      <w:r w:rsidRPr="00AE1205">
        <w:rPr>
          <w:rFonts w:ascii="Arial" w:hAnsi="Arial" w:cs="Arial"/>
        </w:rPr>
        <w:t>Powierzchnia:</w:t>
      </w:r>
    </w:p>
    <w:p w:rsidR="00A51097" w:rsidRPr="00AE1205" w:rsidRDefault="00A51097" w:rsidP="00A51097">
      <w:pPr>
        <w:numPr>
          <w:ilvl w:val="0"/>
          <w:numId w:val="2"/>
        </w:numPr>
        <w:tabs>
          <w:tab w:val="left" w:pos="1701"/>
          <w:tab w:val="left" w:pos="5760"/>
          <w:tab w:val="decimal" w:pos="7560"/>
        </w:tabs>
        <w:ind w:left="1701" w:hanging="283"/>
        <w:jc w:val="both"/>
        <w:rPr>
          <w:rFonts w:ascii="Arial" w:hAnsi="Arial" w:cs="Arial"/>
          <w:vertAlign w:val="superscript"/>
        </w:rPr>
      </w:pPr>
      <w:r w:rsidRPr="00AE1205">
        <w:rPr>
          <w:rFonts w:ascii="Arial" w:hAnsi="Arial" w:cs="Arial"/>
        </w:rPr>
        <w:t>zabudowy POT:</w:t>
      </w:r>
      <w:r w:rsidRPr="00AE1205">
        <w:rPr>
          <w:rFonts w:ascii="Arial" w:hAnsi="Arial" w:cs="Arial"/>
        </w:rPr>
        <w:tab/>
        <w:t>264,00 m</w:t>
      </w:r>
      <w:r w:rsidRPr="00AE1205">
        <w:rPr>
          <w:rFonts w:ascii="Arial" w:hAnsi="Arial" w:cs="Arial"/>
          <w:vertAlign w:val="superscript"/>
        </w:rPr>
        <w:t>2</w:t>
      </w:r>
    </w:p>
    <w:p w:rsidR="00A51097" w:rsidRPr="00AE1205" w:rsidRDefault="00A51097" w:rsidP="00A51097">
      <w:pPr>
        <w:numPr>
          <w:ilvl w:val="0"/>
          <w:numId w:val="2"/>
        </w:numPr>
        <w:tabs>
          <w:tab w:val="left" w:pos="1701"/>
          <w:tab w:val="left" w:pos="5760"/>
          <w:tab w:val="decimal" w:pos="7560"/>
        </w:tabs>
        <w:ind w:left="1701" w:hanging="283"/>
        <w:jc w:val="both"/>
        <w:rPr>
          <w:rFonts w:ascii="Arial" w:hAnsi="Arial" w:cs="Arial"/>
          <w:vertAlign w:val="superscript"/>
        </w:rPr>
      </w:pPr>
      <w:r w:rsidRPr="00AE1205">
        <w:rPr>
          <w:rFonts w:ascii="Arial" w:hAnsi="Arial" w:cs="Arial"/>
        </w:rPr>
        <w:t>użytkowa POT:</w:t>
      </w:r>
      <w:r w:rsidRPr="00AE1205">
        <w:rPr>
          <w:rFonts w:ascii="Arial" w:hAnsi="Arial" w:cs="Arial"/>
        </w:rPr>
        <w:tab/>
        <w:t>102,50 m</w:t>
      </w:r>
      <w:r w:rsidRPr="00AE1205">
        <w:rPr>
          <w:rFonts w:ascii="Arial" w:hAnsi="Arial" w:cs="Arial"/>
          <w:vertAlign w:val="superscript"/>
        </w:rPr>
        <w:t>2</w:t>
      </w:r>
    </w:p>
    <w:p w:rsidR="00A51097" w:rsidRPr="00AE1205" w:rsidRDefault="00A51097" w:rsidP="00A51097">
      <w:pPr>
        <w:pStyle w:val="Akapitzlist"/>
        <w:spacing w:before="60"/>
        <w:ind w:left="1418"/>
        <w:jc w:val="both"/>
        <w:rPr>
          <w:rFonts w:ascii="Arial" w:hAnsi="Arial" w:cs="Arial"/>
        </w:rPr>
      </w:pPr>
      <w:r w:rsidRPr="00AE1205">
        <w:rPr>
          <w:rFonts w:ascii="Arial" w:hAnsi="Arial" w:cs="Arial"/>
        </w:rPr>
        <w:t>Wysokość: 4,36 m - budynek niski „N”.</w:t>
      </w:r>
    </w:p>
    <w:p w:rsidR="00A51097" w:rsidRPr="00AE1205" w:rsidRDefault="00A51097" w:rsidP="00A51097">
      <w:pPr>
        <w:pStyle w:val="Akapitzlist"/>
        <w:ind w:left="1418"/>
        <w:jc w:val="both"/>
        <w:rPr>
          <w:rFonts w:ascii="Arial" w:hAnsi="Arial" w:cs="Arial"/>
        </w:rPr>
      </w:pPr>
      <w:r w:rsidRPr="00AE1205">
        <w:rPr>
          <w:rFonts w:ascii="Arial" w:hAnsi="Arial" w:cs="Arial"/>
        </w:rPr>
        <w:t>Liczba kondygnacji nadziemnych: 1, poziomów podziemnych: 0</w:t>
      </w:r>
    </w:p>
    <w:p w:rsidR="00A51097" w:rsidRPr="00AE1205" w:rsidRDefault="00A51097" w:rsidP="00A51097">
      <w:pPr>
        <w:pStyle w:val="Akapitzlist"/>
        <w:numPr>
          <w:ilvl w:val="1"/>
          <w:numId w:val="3"/>
        </w:numPr>
        <w:autoSpaceDE w:val="0"/>
        <w:autoSpaceDN w:val="0"/>
        <w:adjustRightInd w:val="0"/>
        <w:spacing w:before="120"/>
        <w:jc w:val="both"/>
        <w:rPr>
          <w:rFonts w:ascii="Arial" w:hAnsi="Arial" w:cs="Arial"/>
          <w:b/>
        </w:rPr>
      </w:pPr>
      <w:r w:rsidRPr="00AE1205">
        <w:rPr>
          <w:rFonts w:ascii="Arial" w:hAnsi="Arial" w:cs="Arial"/>
          <w:b/>
        </w:rPr>
        <w:t>Charakterystyka zagrożenia pożarowego, w tym parametry pożarowe materiałów niebezpiecznych pożarowo.</w:t>
      </w:r>
    </w:p>
    <w:p w:rsidR="00A51097" w:rsidRPr="00AE1205" w:rsidRDefault="00A51097" w:rsidP="00A51097">
      <w:pPr>
        <w:tabs>
          <w:tab w:val="left" w:pos="709"/>
        </w:tabs>
        <w:ind w:left="1418"/>
        <w:jc w:val="both"/>
        <w:rPr>
          <w:rFonts w:ascii="Arial" w:eastAsia="MS Mincho" w:hAnsi="Arial" w:cs="Arial"/>
        </w:rPr>
      </w:pPr>
      <w:r w:rsidRPr="00AE1205">
        <w:rPr>
          <w:rFonts w:ascii="Arial" w:eastAsia="MS Mincho" w:hAnsi="Arial" w:cs="Arial"/>
        </w:rPr>
        <w:t>W obiekcie nie będą występowały przestrzenie i strefy zagrożenia wybuchem.</w:t>
      </w:r>
    </w:p>
    <w:p w:rsidR="00A51097" w:rsidRPr="00AE1205" w:rsidRDefault="00A51097" w:rsidP="00A51097">
      <w:pPr>
        <w:tabs>
          <w:tab w:val="left" w:pos="709"/>
        </w:tabs>
        <w:autoSpaceDE w:val="0"/>
        <w:autoSpaceDN w:val="0"/>
        <w:adjustRightInd w:val="0"/>
        <w:ind w:left="1418"/>
        <w:jc w:val="both"/>
        <w:rPr>
          <w:rFonts w:ascii="Arial" w:hAnsi="Arial" w:cs="Arial"/>
        </w:rPr>
      </w:pPr>
      <w:r w:rsidRPr="00AE1205">
        <w:rPr>
          <w:rFonts w:ascii="Arial" w:eastAsia="MS Mincho" w:hAnsi="Arial" w:cs="Arial"/>
          <w:lang w:eastAsia="ar-SA"/>
        </w:rPr>
        <w:t>W budynku nie przewiduje się użytkowania większych ilości materiałów palnych, za wyjątkiem elementów wyposażenia i wystroju wnętrz. Pod względem palności w zdecydowanej większości reprezentowane będą materiały stałe. W częściach biurowych nie przewiduje się możliwości magazynowania materiałów niebezpiecznych pożarowo</w:t>
      </w:r>
      <w:r w:rsidRPr="00AE1205">
        <w:rPr>
          <w:rFonts w:ascii="Arial" w:eastAsia="MS Mincho" w:hAnsi="Arial" w:cs="Arial"/>
          <w:b/>
          <w:vertAlign w:val="superscript"/>
        </w:rPr>
        <w:footnoteReference w:id="1"/>
      </w:r>
      <w:r w:rsidRPr="00AE1205">
        <w:rPr>
          <w:rFonts w:ascii="Arial" w:eastAsia="MS Mincho" w:hAnsi="Arial" w:cs="Arial"/>
        </w:rPr>
        <w:t xml:space="preserve"> </w:t>
      </w:r>
      <w:r w:rsidRPr="00AE1205">
        <w:rPr>
          <w:rFonts w:ascii="Arial" w:eastAsia="MS Mincho" w:hAnsi="Arial" w:cs="Arial"/>
          <w:lang w:eastAsia="ar-SA"/>
        </w:rPr>
        <w:t>jak np. gazy lub ciecze łatwo zapalne, czy też materiały pirotechniczne.</w:t>
      </w:r>
    </w:p>
    <w:p w:rsidR="00A51097" w:rsidRPr="00AE1205" w:rsidRDefault="00A51097" w:rsidP="00A51097">
      <w:pPr>
        <w:pStyle w:val="Akapitzlist"/>
        <w:numPr>
          <w:ilvl w:val="1"/>
          <w:numId w:val="3"/>
        </w:numPr>
        <w:autoSpaceDE w:val="0"/>
        <w:autoSpaceDN w:val="0"/>
        <w:adjustRightInd w:val="0"/>
        <w:spacing w:before="120"/>
        <w:jc w:val="both"/>
        <w:rPr>
          <w:rFonts w:ascii="Arial" w:hAnsi="Arial" w:cs="Arial"/>
          <w:b/>
        </w:rPr>
      </w:pPr>
      <w:r w:rsidRPr="00AE1205">
        <w:rPr>
          <w:rFonts w:ascii="Arial" w:hAnsi="Arial" w:cs="Arial"/>
          <w:b/>
        </w:rPr>
        <w:t>Informacje o kategorii zagrożenia ludzi oraz przewidywanej liczbie osób na każdej kondygnacji i w pomieszczeniach, których drzwi ewakuacyjne powinny otwierać się na zewnątrz pomieszczeń.</w:t>
      </w:r>
    </w:p>
    <w:p w:rsidR="00A51097" w:rsidRPr="00AE1205" w:rsidRDefault="00A51097" w:rsidP="00A51097">
      <w:pPr>
        <w:autoSpaceDE w:val="0"/>
        <w:autoSpaceDN w:val="0"/>
        <w:adjustRightInd w:val="0"/>
        <w:ind w:left="1418"/>
        <w:jc w:val="both"/>
        <w:rPr>
          <w:rFonts w:ascii="Arial" w:hAnsi="Arial" w:cs="Arial"/>
        </w:rPr>
      </w:pPr>
      <w:r w:rsidRPr="00AE1205">
        <w:rPr>
          <w:rFonts w:ascii="Arial" w:hAnsi="Arial" w:cs="Arial"/>
          <w:bCs/>
        </w:rPr>
        <w:t xml:space="preserve">Pod względem przeznaczenia i sposobu użytkowania budynek zaliczono do kategorii ZL III zagrożenia ludzi (budynki użyteczności publicznej niezawierające pomieszczeń </w:t>
      </w:r>
      <w:r w:rsidRPr="00AE1205">
        <w:rPr>
          <w:rFonts w:ascii="Arial" w:hAnsi="Arial" w:cs="Arial"/>
        </w:rPr>
        <w:t>przeznaczonych do jednoczesnego przebywania ponad 50 osób niebędących ich stałymi użytkownikami oraz nieprzeznaczone przede wszystkim do użytku ludzi o ograniczonej zdolności poruszania się).</w:t>
      </w:r>
    </w:p>
    <w:p w:rsidR="00A51097" w:rsidRPr="00AE1205" w:rsidRDefault="00A51097" w:rsidP="00A51097">
      <w:pPr>
        <w:pStyle w:val="Akapitzlist"/>
        <w:numPr>
          <w:ilvl w:val="1"/>
          <w:numId w:val="3"/>
        </w:numPr>
        <w:autoSpaceDE w:val="0"/>
        <w:autoSpaceDN w:val="0"/>
        <w:adjustRightInd w:val="0"/>
        <w:spacing w:before="120"/>
        <w:contextualSpacing/>
        <w:jc w:val="both"/>
        <w:rPr>
          <w:rFonts w:ascii="Arial" w:hAnsi="Arial" w:cs="Arial"/>
          <w:b/>
        </w:rPr>
      </w:pPr>
      <w:r w:rsidRPr="00AE1205">
        <w:rPr>
          <w:rFonts w:ascii="Arial" w:hAnsi="Arial" w:cs="Arial"/>
          <w:b/>
        </w:rPr>
        <w:lastRenderedPageBreak/>
        <w:t>Informacje o przewidywanej gęstości obciążenia ogniowego.</w:t>
      </w:r>
    </w:p>
    <w:p w:rsidR="00A51097" w:rsidRDefault="00A51097" w:rsidP="00A51097">
      <w:pPr>
        <w:pStyle w:val="Akapitzlist"/>
        <w:autoSpaceDE w:val="0"/>
        <w:autoSpaceDN w:val="0"/>
        <w:adjustRightInd w:val="0"/>
        <w:spacing w:before="120"/>
        <w:ind w:left="1418"/>
        <w:jc w:val="both"/>
        <w:rPr>
          <w:rFonts w:ascii="Arial" w:hAnsi="Arial" w:cs="Arial"/>
        </w:rPr>
      </w:pPr>
      <w:r w:rsidRPr="00AE1205">
        <w:rPr>
          <w:rFonts w:ascii="Arial" w:hAnsi="Arial" w:cs="Arial"/>
        </w:rPr>
        <w:t>Dla strefy ZL nie wyznacza się gęstości obciążenia ogniowego.</w:t>
      </w:r>
    </w:p>
    <w:p w:rsidR="00A51097" w:rsidRDefault="00A51097" w:rsidP="00A51097">
      <w:pPr>
        <w:pStyle w:val="Akapitzlist"/>
        <w:autoSpaceDE w:val="0"/>
        <w:autoSpaceDN w:val="0"/>
        <w:adjustRightInd w:val="0"/>
        <w:spacing w:before="120"/>
        <w:ind w:left="1418"/>
        <w:jc w:val="both"/>
        <w:rPr>
          <w:rFonts w:ascii="Arial" w:hAnsi="Arial" w:cs="Arial"/>
        </w:rPr>
      </w:pPr>
    </w:p>
    <w:p w:rsidR="00A51097" w:rsidRPr="00AE1205" w:rsidRDefault="00A51097" w:rsidP="00A51097">
      <w:pPr>
        <w:pStyle w:val="Akapitzlist"/>
        <w:autoSpaceDE w:val="0"/>
        <w:autoSpaceDN w:val="0"/>
        <w:adjustRightInd w:val="0"/>
        <w:spacing w:before="120"/>
        <w:ind w:left="1418"/>
        <w:jc w:val="both"/>
        <w:rPr>
          <w:rFonts w:ascii="Arial" w:hAnsi="Arial" w:cs="Arial"/>
        </w:rPr>
      </w:pPr>
    </w:p>
    <w:p w:rsidR="00A51097" w:rsidRPr="00AE1205" w:rsidRDefault="00A51097" w:rsidP="00A51097">
      <w:pPr>
        <w:pStyle w:val="Akapitzlist"/>
        <w:numPr>
          <w:ilvl w:val="1"/>
          <w:numId w:val="3"/>
        </w:numPr>
        <w:autoSpaceDE w:val="0"/>
        <w:autoSpaceDN w:val="0"/>
        <w:adjustRightInd w:val="0"/>
        <w:spacing w:before="120"/>
        <w:jc w:val="both"/>
        <w:rPr>
          <w:rFonts w:ascii="Arial" w:hAnsi="Arial" w:cs="Arial"/>
          <w:b/>
        </w:rPr>
      </w:pPr>
      <w:r w:rsidRPr="00AE1205">
        <w:rPr>
          <w:rFonts w:ascii="Arial" w:hAnsi="Arial" w:cs="Arial"/>
          <w:b/>
        </w:rPr>
        <w:t>Ocena zagrożenia wybuchem pomieszczeń oraz przestrzeni zewnętrznych.</w:t>
      </w:r>
    </w:p>
    <w:p w:rsidR="00A51097" w:rsidRPr="00AE1205" w:rsidRDefault="00A51097" w:rsidP="00A51097">
      <w:pPr>
        <w:pStyle w:val="Akapitzlist"/>
        <w:autoSpaceDE w:val="0"/>
        <w:autoSpaceDN w:val="0"/>
        <w:adjustRightInd w:val="0"/>
        <w:spacing w:before="120"/>
        <w:ind w:left="1418"/>
        <w:jc w:val="both"/>
        <w:rPr>
          <w:rFonts w:ascii="Arial" w:hAnsi="Arial" w:cs="Arial"/>
          <w:b/>
        </w:rPr>
      </w:pPr>
      <w:r w:rsidRPr="00AE1205">
        <w:rPr>
          <w:rFonts w:ascii="Arial" w:hAnsi="Arial" w:cs="Arial"/>
        </w:rPr>
        <w:t>W obiekcie nie występują przestrzenie i strefy zagrożenia wybuchem.</w:t>
      </w:r>
    </w:p>
    <w:p w:rsidR="00A51097" w:rsidRPr="00AE1205" w:rsidRDefault="00A51097" w:rsidP="00A51097">
      <w:pPr>
        <w:pStyle w:val="Akapitzlist"/>
        <w:numPr>
          <w:ilvl w:val="1"/>
          <w:numId w:val="3"/>
        </w:numPr>
        <w:autoSpaceDE w:val="0"/>
        <w:autoSpaceDN w:val="0"/>
        <w:adjustRightInd w:val="0"/>
        <w:spacing w:before="120"/>
        <w:jc w:val="both"/>
        <w:rPr>
          <w:rFonts w:ascii="Arial" w:hAnsi="Arial" w:cs="Arial"/>
          <w:b/>
        </w:rPr>
      </w:pPr>
      <w:r w:rsidRPr="00AE1205">
        <w:rPr>
          <w:rFonts w:ascii="Arial" w:hAnsi="Arial" w:cs="Arial"/>
          <w:b/>
        </w:rPr>
        <w:t>Informacje o klasie odporności pożarowej oraz klasie odporności ogniowej i stopniu rozprzestrzeniania ognia elementów budowlanych.</w:t>
      </w:r>
    </w:p>
    <w:p w:rsidR="00A51097" w:rsidRPr="00AE1205" w:rsidRDefault="00A51097" w:rsidP="00A51097">
      <w:pPr>
        <w:pStyle w:val="Tekstpodstawowywcity3"/>
        <w:tabs>
          <w:tab w:val="num" w:pos="900"/>
        </w:tabs>
        <w:ind w:left="1418" w:right="16" w:firstLine="0"/>
        <w:rPr>
          <w:rFonts w:ascii="Arial" w:hAnsi="Arial" w:cs="Arial"/>
        </w:rPr>
      </w:pPr>
      <w:r w:rsidRPr="00AE1205">
        <w:rPr>
          <w:rFonts w:ascii="Arial" w:hAnsi="Arial" w:cs="Arial"/>
        </w:rPr>
        <w:t xml:space="preserve">Wymaganą klasą odporności pożarowej dla budynku niskiego kategorii ZL III zagrożenia ludzi jest klasa „C”. Dla budynków, które mają jedną kondygnację nadziemną dopuszczalne jest obniżenie klasy odporności pożarowej do klasy „D”. </w:t>
      </w:r>
    </w:p>
    <w:p w:rsidR="00A51097" w:rsidRPr="00AE1205" w:rsidRDefault="00A51097" w:rsidP="00A51097">
      <w:pPr>
        <w:pStyle w:val="Tekstpodstawowywcity3"/>
        <w:tabs>
          <w:tab w:val="num" w:pos="900"/>
        </w:tabs>
        <w:ind w:left="1418" w:right="16" w:firstLine="0"/>
        <w:rPr>
          <w:rFonts w:ascii="Arial" w:hAnsi="Arial" w:cs="Arial"/>
        </w:rPr>
      </w:pPr>
      <w:r w:rsidRPr="00AE1205">
        <w:rPr>
          <w:rFonts w:ascii="Arial" w:hAnsi="Arial" w:cs="Arial"/>
        </w:rPr>
        <w:t>W związku z  tym elementy budynku będą spełniać wymagania:</w:t>
      </w:r>
    </w:p>
    <w:p w:rsidR="00A51097" w:rsidRPr="00AE1205" w:rsidRDefault="00A51097" w:rsidP="00A51097">
      <w:pPr>
        <w:pStyle w:val="Tekstpodstawowywcity3"/>
        <w:numPr>
          <w:ilvl w:val="2"/>
          <w:numId w:val="4"/>
        </w:numPr>
        <w:tabs>
          <w:tab w:val="left" w:pos="1843"/>
        </w:tabs>
        <w:ind w:left="1843" w:right="612" w:hanging="425"/>
        <w:rPr>
          <w:rFonts w:ascii="Arial" w:hAnsi="Arial" w:cs="Arial"/>
        </w:rPr>
      </w:pPr>
      <w:r w:rsidRPr="00AE1205">
        <w:rPr>
          <w:rFonts w:ascii="Arial" w:hAnsi="Arial" w:cs="Arial"/>
        </w:rPr>
        <w:t>konstrukcja główna – R 30,</w:t>
      </w:r>
    </w:p>
    <w:p w:rsidR="00A51097" w:rsidRPr="00AE1205" w:rsidRDefault="00A51097" w:rsidP="00A51097">
      <w:pPr>
        <w:pStyle w:val="Tekstpodstawowywcity3"/>
        <w:numPr>
          <w:ilvl w:val="2"/>
          <w:numId w:val="4"/>
        </w:numPr>
        <w:tabs>
          <w:tab w:val="left" w:pos="1843"/>
        </w:tabs>
        <w:ind w:left="1843" w:right="612" w:hanging="425"/>
        <w:rPr>
          <w:rFonts w:ascii="Arial" w:hAnsi="Arial" w:cs="Arial"/>
        </w:rPr>
      </w:pPr>
      <w:r w:rsidRPr="00AE1205">
        <w:rPr>
          <w:rFonts w:ascii="Arial" w:hAnsi="Arial" w:cs="Arial"/>
        </w:rPr>
        <w:t>konstrukcja dachu – bez wymagań,</w:t>
      </w:r>
    </w:p>
    <w:p w:rsidR="00A51097" w:rsidRPr="00AE1205" w:rsidRDefault="00A51097" w:rsidP="00A51097">
      <w:pPr>
        <w:pStyle w:val="Tekstpodstawowywcity3"/>
        <w:numPr>
          <w:ilvl w:val="2"/>
          <w:numId w:val="4"/>
        </w:numPr>
        <w:tabs>
          <w:tab w:val="left" w:pos="1843"/>
        </w:tabs>
        <w:ind w:left="1843" w:right="612" w:hanging="425"/>
        <w:rPr>
          <w:rFonts w:ascii="Arial" w:hAnsi="Arial" w:cs="Arial"/>
        </w:rPr>
      </w:pPr>
      <w:r w:rsidRPr="00AE1205">
        <w:rPr>
          <w:rFonts w:ascii="Arial" w:hAnsi="Arial" w:cs="Arial"/>
        </w:rPr>
        <w:t>strop – R 30,</w:t>
      </w:r>
    </w:p>
    <w:p w:rsidR="00A51097" w:rsidRPr="00AE1205" w:rsidRDefault="00A51097" w:rsidP="00A51097">
      <w:pPr>
        <w:pStyle w:val="Tekstpodstawowywcity3"/>
        <w:numPr>
          <w:ilvl w:val="2"/>
          <w:numId w:val="4"/>
        </w:numPr>
        <w:tabs>
          <w:tab w:val="left" w:pos="1843"/>
        </w:tabs>
        <w:ind w:left="1843" w:right="612" w:hanging="425"/>
        <w:rPr>
          <w:rFonts w:ascii="Arial" w:hAnsi="Arial" w:cs="Arial"/>
        </w:rPr>
      </w:pPr>
      <w:r w:rsidRPr="00AE1205">
        <w:rPr>
          <w:rFonts w:ascii="Arial" w:hAnsi="Arial" w:cs="Arial"/>
        </w:rPr>
        <w:t>przekrycie dachu – bez wymagań,</w:t>
      </w:r>
    </w:p>
    <w:p w:rsidR="00A51097" w:rsidRPr="00AE1205" w:rsidRDefault="00A51097" w:rsidP="00A51097">
      <w:pPr>
        <w:pStyle w:val="Tekstpodstawowywcity3"/>
        <w:numPr>
          <w:ilvl w:val="2"/>
          <w:numId w:val="4"/>
        </w:numPr>
        <w:tabs>
          <w:tab w:val="left" w:pos="1843"/>
        </w:tabs>
        <w:ind w:left="1843" w:right="612" w:hanging="425"/>
        <w:rPr>
          <w:rFonts w:ascii="Arial" w:hAnsi="Arial" w:cs="Arial"/>
        </w:rPr>
      </w:pPr>
      <w:r w:rsidRPr="00AE1205">
        <w:rPr>
          <w:rFonts w:ascii="Arial" w:hAnsi="Arial" w:cs="Arial"/>
        </w:rPr>
        <w:t>ściana wewnętrzna – bez wymagań.</w:t>
      </w:r>
    </w:p>
    <w:p w:rsidR="00A51097" w:rsidRPr="00AE1205" w:rsidRDefault="00A51097" w:rsidP="00A51097">
      <w:pPr>
        <w:spacing w:before="60"/>
        <w:ind w:left="1418"/>
        <w:jc w:val="both"/>
        <w:rPr>
          <w:rFonts w:ascii="Arial" w:hAnsi="Arial" w:cs="Arial"/>
        </w:rPr>
      </w:pPr>
      <w:r w:rsidRPr="00AE1205">
        <w:rPr>
          <w:rFonts w:ascii="Arial" w:hAnsi="Arial" w:cs="Arial"/>
        </w:rPr>
        <w:t>W zakresie wystroju wnętrz oraz dróg komunikacji ogólnej użyte zostaną wyłącznie:</w:t>
      </w:r>
    </w:p>
    <w:p w:rsidR="00A51097" w:rsidRPr="00AE1205" w:rsidRDefault="00A51097" w:rsidP="00A51097">
      <w:pPr>
        <w:numPr>
          <w:ilvl w:val="0"/>
          <w:numId w:val="1"/>
        </w:numPr>
        <w:tabs>
          <w:tab w:val="left" w:pos="1843"/>
        </w:tabs>
        <w:overflowPunct w:val="0"/>
        <w:autoSpaceDE w:val="0"/>
        <w:autoSpaceDN w:val="0"/>
        <w:adjustRightInd w:val="0"/>
        <w:ind w:left="1843" w:hanging="425"/>
        <w:jc w:val="both"/>
        <w:textAlignment w:val="baseline"/>
        <w:rPr>
          <w:rFonts w:ascii="Arial" w:hAnsi="Arial" w:cs="Arial"/>
        </w:rPr>
      </w:pPr>
      <w:r w:rsidRPr="00AE1205">
        <w:rPr>
          <w:rFonts w:ascii="Arial" w:hAnsi="Arial" w:cs="Arial"/>
        </w:rPr>
        <w:t>materiały, których produkty rozkładu termicznego nie są bardzo toksyczne i silnie dymiące,</w:t>
      </w:r>
    </w:p>
    <w:p w:rsidR="00A51097" w:rsidRPr="00AE1205" w:rsidRDefault="00A51097" w:rsidP="00A51097">
      <w:pPr>
        <w:numPr>
          <w:ilvl w:val="0"/>
          <w:numId w:val="1"/>
        </w:numPr>
        <w:tabs>
          <w:tab w:val="left" w:pos="1843"/>
        </w:tabs>
        <w:overflowPunct w:val="0"/>
        <w:autoSpaceDE w:val="0"/>
        <w:autoSpaceDN w:val="0"/>
        <w:adjustRightInd w:val="0"/>
        <w:ind w:left="1843" w:hanging="425"/>
        <w:jc w:val="both"/>
        <w:textAlignment w:val="baseline"/>
        <w:rPr>
          <w:rFonts w:ascii="Arial" w:hAnsi="Arial" w:cs="Arial"/>
        </w:rPr>
      </w:pPr>
      <w:r w:rsidRPr="00AE1205">
        <w:rPr>
          <w:rFonts w:ascii="Arial" w:hAnsi="Arial" w:cs="Arial"/>
        </w:rPr>
        <w:t>wykładziny podłogowe i okładziny ścienne oraz stałe elementy wystroju i wyposażenia wnętrz, co najmniej "trudno zapalne",</w:t>
      </w:r>
    </w:p>
    <w:p w:rsidR="00A51097" w:rsidRPr="00AE1205" w:rsidRDefault="00A51097" w:rsidP="00A51097">
      <w:pPr>
        <w:numPr>
          <w:ilvl w:val="0"/>
          <w:numId w:val="1"/>
        </w:numPr>
        <w:tabs>
          <w:tab w:val="left" w:pos="1843"/>
        </w:tabs>
        <w:overflowPunct w:val="0"/>
        <w:autoSpaceDE w:val="0"/>
        <w:autoSpaceDN w:val="0"/>
        <w:adjustRightInd w:val="0"/>
        <w:ind w:left="1843" w:hanging="425"/>
        <w:jc w:val="both"/>
        <w:textAlignment w:val="baseline"/>
        <w:rPr>
          <w:rFonts w:ascii="Arial" w:hAnsi="Arial" w:cs="Arial"/>
        </w:rPr>
      </w:pPr>
      <w:r w:rsidRPr="00AE1205">
        <w:rPr>
          <w:rFonts w:ascii="Arial" w:hAnsi="Arial" w:cs="Arial"/>
        </w:rPr>
        <w:t>sufity podwieszone i okładziny sufitowe, co najmniej "niezapalne", nie kapiące i nie odpadające pod wpływem ognia.</w:t>
      </w:r>
    </w:p>
    <w:p w:rsidR="00A51097" w:rsidRPr="00AE1205" w:rsidRDefault="00A51097" w:rsidP="00A51097">
      <w:pPr>
        <w:pStyle w:val="Akapitzlist"/>
        <w:numPr>
          <w:ilvl w:val="1"/>
          <w:numId w:val="3"/>
        </w:numPr>
        <w:autoSpaceDE w:val="0"/>
        <w:autoSpaceDN w:val="0"/>
        <w:adjustRightInd w:val="0"/>
        <w:spacing w:before="120"/>
        <w:jc w:val="both"/>
        <w:rPr>
          <w:rFonts w:ascii="Arial" w:hAnsi="Arial" w:cs="Arial"/>
          <w:b/>
        </w:rPr>
      </w:pPr>
      <w:r w:rsidRPr="00AE1205">
        <w:rPr>
          <w:rFonts w:ascii="Arial" w:hAnsi="Arial" w:cs="Arial"/>
          <w:b/>
        </w:rPr>
        <w:t>Informacje o podziale na strefy pożarowe.</w:t>
      </w:r>
    </w:p>
    <w:p w:rsidR="00A51097" w:rsidRPr="00AE1205" w:rsidRDefault="00A51097" w:rsidP="00A51097">
      <w:pPr>
        <w:pStyle w:val="Akapitzlist"/>
        <w:ind w:left="1418"/>
        <w:jc w:val="both"/>
        <w:rPr>
          <w:rFonts w:ascii="Arial" w:hAnsi="Arial" w:cs="Arial"/>
          <w:b/>
        </w:rPr>
      </w:pPr>
      <w:r w:rsidRPr="00AE1205">
        <w:rPr>
          <w:rFonts w:ascii="Arial" w:hAnsi="Arial" w:cs="Arial"/>
        </w:rPr>
        <w:t>Dla obiektów zaliczonych do kategorii zagrożenia ludzi ZL III niskich (N), dopuszczalna powierzchnia strefy pożarowej wynosi 8 000 m</w:t>
      </w:r>
      <w:r w:rsidRPr="00AE1205">
        <w:rPr>
          <w:rFonts w:ascii="Arial" w:hAnsi="Arial" w:cs="Arial"/>
          <w:vertAlign w:val="superscript"/>
        </w:rPr>
        <w:t>2</w:t>
      </w:r>
      <w:r w:rsidRPr="00AE1205">
        <w:rPr>
          <w:rFonts w:ascii="Arial" w:hAnsi="Arial" w:cs="Arial"/>
        </w:rPr>
        <w:t>. Budynek będzie stanowił w całości jedną strefę pożarową.</w:t>
      </w:r>
    </w:p>
    <w:p w:rsidR="00A51097" w:rsidRPr="00AE1205" w:rsidRDefault="00A51097" w:rsidP="00A51097">
      <w:pPr>
        <w:pStyle w:val="Akapitzlist"/>
        <w:numPr>
          <w:ilvl w:val="1"/>
          <w:numId w:val="3"/>
        </w:numPr>
        <w:autoSpaceDE w:val="0"/>
        <w:autoSpaceDN w:val="0"/>
        <w:adjustRightInd w:val="0"/>
        <w:spacing w:before="120"/>
        <w:jc w:val="both"/>
        <w:rPr>
          <w:rFonts w:ascii="Arial" w:hAnsi="Arial" w:cs="Arial"/>
          <w:b/>
        </w:rPr>
      </w:pPr>
      <w:r w:rsidRPr="00AE1205">
        <w:rPr>
          <w:rFonts w:ascii="Arial" w:hAnsi="Arial" w:cs="Arial"/>
          <w:b/>
        </w:rPr>
        <w:t>Informacje o usytuowaniu z uwagi na bezpieczeństwo pożarowe, w tym o odległości od obiektów sąsiadujących.</w:t>
      </w:r>
    </w:p>
    <w:p w:rsidR="00A51097" w:rsidRPr="00AE1205" w:rsidRDefault="00A51097" w:rsidP="00A51097">
      <w:pPr>
        <w:pStyle w:val="Akapitzlist"/>
        <w:ind w:left="1418"/>
        <w:jc w:val="both"/>
        <w:rPr>
          <w:rFonts w:ascii="Arial" w:hAnsi="Arial" w:cs="Arial"/>
        </w:rPr>
      </w:pPr>
      <w:r w:rsidRPr="00AE1205">
        <w:rPr>
          <w:rFonts w:ascii="Arial" w:hAnsi="Arial" w:cs="Arial"/>
        </w:rPr>
        <w:t>Obiekt wolnostojący. Odległość od sąsiednich budynków (zamku) powyżej 8 m.</w:t>
      </w:r>
    </w:p>
    <w:p w:rsidR="00A51097" w:rsidRPr="00AE1205" w:rsidRDefault="00A51097" w:rsidP="00A51097">
      <w:pPr>
        <w:pStyle w:val="Akapitzlist"/>
        <w:numPr>
          <w:ilvl w:val="1"/>
          <w:numId w:val="3"/>
        </w:numPr>
        <w:autoSpaceDE w:val="0"/>
        <w:autoSpaceDN w:val="0"/>
        <w:adjustRightInd w:val="0"/>
        <w:spacing w:before="120"/>
        <w:jc w:val="both"/>
        <w:rPr>
          <w:rFonts w:ascii="Arial" w:hAnsi="Arial" w:cs="Arial"/>
          <w:b/>
        </w:rPr>
      </w:pPr>
      <w:r w:rsidRPr="00AE1205">
        <w:rPr>
          <w:rFonts w:ascii="Arial" w:hAnsi="Arial" w:cs="Arial"/>
          <w:b/>
        </w:rPr>
        <w:t>Informacje o warunkach i strategii ewakuacji ludzi lub ich uratowania w inny sposób</w:t>
      </w:r>
    </w:p>
    <w:p w:rsidR="00A51097" w:rsidRPr="00AE1205" w:rsidRDefault="00A51097" w:rsidP="00A51097">
      <w:pPr>
        <w:pStyle w:val="standard"/>
        <w:ind w:left="1418"/>
        <w:jc w:val="both"/>
        <w:rPr>
          <w:rFonts w:ascii="Arial" w:hAnsi="Arial" w:cs="Arial"/>
          <w:color w:val="auto"/>
          <w:lang w:val="pl-PL"/>
        </w:rPr>
      </w:pPr>
      <w:r w:rsidRPr="00AE1205">
        <w:rPr>
          <w:rFonts w:ascii="Arial" w:hAnsi="Arial" w:cs="Arial"/>
          <w:color w:val="auto"/>
          <w:lang w:val="pl-PL"/>
        </w:rPr>
        <w:t xml:space="preserve">Dla budynku zapewniono dwa wyjścia ewakuacyjne prowadzące bezpośrednio na przyległy teren. Ewakuacja będzie się odbywać poprzez drzwi jednoskrzydłowe o szerokości nie mniejszej niż 0,9 m w świetle. </w:t>
      </w:r>
    </w:p>
    <w:p w:rsidR="00A51097" w:rsidRPr="00AE1205" w:rsidRDefault="00A51097" w:rsidP="00A51097">
      <w:pPr>
        <w:pStyle w:val="standard"/>
        <w:ind w:left="1418"/>
        <w:jc w:val="both"/>
        <w:rPr>
          <w:rFonts w:ascii="Arial" w:hAnsi="Arial" w:cs="Arial"/>
          <w:color w:val="auto"/>
          <w:lang w:val="pl-PL"/>
        </w:rPr>
      </w:pPr>
      <w:r w:rsidRPr="00AE1205">
        <w:rPr>
          <w:rFonts w:ascii="Arial" w:hAnsi="Arial" w:cs="Arial"/>
          <w:color w:val="auto"/>
          <w:lang w:val="pl-PL"/>
        </w:rPr>
        <w:t xml:space="preserve">W budynku przewidziano schody prowadzące na taras, dla których zapewniono minimalne wymiary szerokości biegów i spoczników wynoszące odpowiednio 1,2 m i </w:t>
      </w:r>
      <w:smartTag w:uri="urn:schemas-microsoft-com:office:smarttags" w:element="metricconverter">
        <w:smartTagPr>
          <w:attr w:name="ProductID" w:val="1,5 m"/>
        </w:smartTagPr>
        <w:r w:rsidRPr="00AE1205">
          <w:rPr>
            <w:rFonts w:ascii="Arial" w:hAnsi="Arial" w:cs="Arial"/>
            <w:color w:val="auto"/>
            <w:lang w:val="pl-PL"/>
          </w:rPr>
          <w:t>1,5 m</w:t>
        </w:r>
      </w:smartTag>
      <w:r w:rsidRPr="00AE1205">
        <w:rPr>
          <w:rFonts w:ascii="Arial" w:hAnsi="Arial" w:cs="Arial"/>
          <w:color w:val="auto"/>
          <w:lang w:val="pl-PL"/>
        </w:rPr>
        <w:t xml:space="preserve"> w świetle.</w:t>
      </w:r>
    </w:p>
    <w:p w:rsidR="00A51097" w:rsidRPr="00AE1205" w:rsidRDefault="00A51097" w:rsidP="00A51097">
      <w:pPr>
        <w:pStyle w:val="standard"/>
        <w:ind w:left="1418"/>
        <w:jc w:val="both"/>
        <w:rPr>
          <w:rFonts w:ascii="Arial" w:hAnsi="Arial" w:cs="Arial"/>
          <w:color w:val="auto"/>
          <w:lang w:val="pl-PL"/>
        </w:rPr>
      </w:pPr>
      <w:r w:rsidRPr="00AE1205">
        <w:rPr>
          <w:rFonts w:ascii="Arial" w:hAnsi="Arial" w:cs="Arial"/>
          <w:color w:val="auto"/>
          <w:lang w:val="pl-PL"/>
        </w:rPr>
        <w:lastRenderedPageBreak/>
        <w:t xml:space="preserve">Dopuszczalne długości przejść ewakuacyjnych w obiekcie nie przekraczają dla części zakwalifikowanych do kategorii ZL – 40 m. Przejście ewakuacyjne w żadnym przypadku nie prowadzi przez więcej niż 3 pomieszczenia. </w:t>
      </w:r>
    </w:p>
    <w:p w:rsidR="00A51097" w:rsidRPr="00AE1205" w:rsidRDefault="00A51097" w:rsidP="00A51097">
      <w:pPr>
        <w:pStyle w:val="standard"/>
        <w:ind w:left="1418"/>
        <w:jc w:val="both"/>
        <w:rPr>
          <w:rFonts w:ascii="Arial" w:hAnsi="Arial" w:cs="Arial"/>
          <w:color w:val="auto"/>
          <w:lang w:val="pl-PL"/>
        </w:rPr>
      </w:pPr>
      <w:r w:rsidRPr="00AE1205">
        <w:rPr>
          <w:rFonts w:ascii="Arial" w:hAnsi="Arial" w:cs="Arial"/>
          <w:color w:val="auto"/>
          <w:lang w:val="pl-PL"/>
        </w:rPr>
        <w:t>W budynku nie będzie pomieszczeń przeznaczonych dla ponad 50 osób.</w:t>
      </w:r>
    </w:p>
    <w:p w:rsidR="00A51097" w:rsidRPr="00AE1205" w:rsidRDefault="00A51097" w:rsidP="00A51097">
      <w:pPr>
        <w:pStyle w:val="Akapitzlist"/>
        <w:numPr>
          <w:ilvl w:val="1"/>
          <w:numId w:val="3"/>
        </w:numPr>
        <w:autoSpaceDE w:val="0"/>
        <w:autoSpaceDN w:val="0"/>
        <w:adjustRightInd w:val="0"/>
        <w:spacing w:before="120"/>
        <w:jc w:val="both"/>
        <w:rPr>
          <w:rFonts w:ascii="Arial" w:hAnsi="Arial" w:cs="Arial"/>
          <w:b/>
        </w:rPr>
      </w:pPr>
      <w:r w:rsidRPr="00AE1205">
        <w:rPr>
          <w:rFonts w:ascii="Arial" w:hAnsi="Arial" w:cs="Arial"/>
          <w:b/>
        </w:rPr>
        <w:t>Informacje o sposobie zabezpieczenia przeciwpożarowego instalacji użytkowych, a w szczególności wentylacyjnej, ogrzewczej, gazowej, elektrycznej, teletechnicznej i piorunochronnej.</w:t>
      </w:r>
    </w:p>
    <w:p w:rsidR="00A51097" w:rsidRPr="00AE1205" w:rsidRDefault="00A51097" w:rsidP="00A51097">
      <w:pPr>
        <w:pStyle w:val="Akapitzlist"/>
        <w:ind w:left="1418"/>
        <w:jc w:val="both"/>
        <w:rPr>
          <w:rFonts w:ascii="Arial" w:hAnsi="Arial" w:cs="Arial"/>
          <w:b/>
        </w:rPr>
      </w:pPr>
      <w:r w:rsidRPr="00AE1205">
        <w:rPr>
          <w:rFonts w:ascii="Arial" w:hAnsi="Arial" w:cs="Arial"/>
        </w:rPr>
        <w:t>Instalacja elektryczna wyposażona będzie w przeciwpożarowy wyłącznik prądu, odcinający dopływ prądu do wszystkich obwodów budynku.</w:t>
      </w:r>
    </w:p>
    <w:p w:rsidR="00A51097" w:rsidRPr="00AE1205" w:rsidRDefault="00A51097" w:rsidP="00A51097">
      <w:pPr>
        <w:pStyle w:val="Akapitzlist"/>
        <w:numPr>
          <w:ilvl w:val="1"/>
          <w:numId w:val="3"/>
        </w:numPr>
        <w:autoSpaceDE w:val="0"/>
        <w:autoSpaceDN w:val="0"/>
        <w:adjustRightInd w:val="0"/>
        <w:spacing w:before="120"/>
        <w:jc w:val="both"/>
        <w:rPr>
          <w:rFonts w:ascii="Arial" w:hAnsi="Arial" w:cs="Arial"/>
          <w:b/>
        </w:rPr>
      </w:pPr>
      <w:r w:rsidRPr="00AE1205">
        <w:rPr>
          <w:rFonts w:ascii="Arial" w:hAnsi="Arial" w:cs="Arial"/>
          <w:b/>
        </w:rPr>
        <w:t>Informacje o doborze urządzeń przeciwpożarowych i innych urządzeń służących bezpieczeństwu pożarowemu, dostosowanym do wymagań wynikających z przepisów dotyczących ochrony przeciwpożarowej i przyjętych scenariuszy pożarowych, z podstawową charakterystyką tych urządzeń.</w:t>
      </w:r>
    </w:p>
    <w:p w:rsidR="00A51097" w:rsidRPr="00AE1205" w:rsidRDefault="00A51097" w:rsidP="00A51097">
      <w:pPr>
        <w:pStyle w:val="Akapitzlist"/>
        <w:ind w:left="1418"/>
        <w:jc w:val="both"/>
        <w:rPr>
          <w:rFonts w:ascii="Arial" w:hAnsi="Arial" w:cs="Arial"/>
          <w:b/>
        </w:rPr>
      </w:pPr>
      <w:r w:rsidRPr="00AE1205">
        <w:rPr>
          <w:rFonts w:ascii="Arial" w:hAnsi="Arial" w:cs="Arial"/>
        </w:rPr>
        <w:t>Obiekt wyposażono w wyłącznik prądu umieszczony przy drzwiach wejściowych i oznakowany znakiem zgodnym z Polską Normą.</w:t>
      </w:r>
    </w:p>
    <w:p w:rsidR="00A51097" w:rsidRPr="00AE1205" w:rsidRDefault="00A51097" w:rsidP="00A51097">
      <w:pPr>
        <w:pStyle w:val="Akapitzlist"/>
        <w:numPr>
          <w:ilvl w:val="1"/>
          <w:numId w:val="3"/>
        </w:numPr>
        <w:autoSpaceDE w:val="0"/>
        <w:autoSpaceDN w:val="0"/>
        <w:adjustRightInd w:val="0"/>
        <w:spacing w:before="120"/>
        <w:jc w:val="both"/>
        <w:rPr>
          <w:rFonts w:ascii="Arial" w:hAnsi="Arial" w:cs="Arial"/>
          <w:b/>
        </w:rPr>
      </w:pPr>
      <w:r w:rsidRPr="00AE1205">
        <w:rPr>
          <w:rFonts w:ascii="Arial" w:hAnsi="Arial" w:cs="Arial"/>
          <w:b/>
        </w:rPr>
        <w:t>Informacje o wyposażeniu w gaśnice</w:t>
      </w:r>
    </w:p>
    <w:p w:rsidR="00A51097" w:rsidRPr="00AE1205" w:rsidRDefault="00A51097" w:rsidP="00A51097">
      <w:pPr>
        <w:pStyle w:val="Akapitzlist"/>
        <w:ind w:left="1418"/>
        <w:jc w:val="both"/>
        <w:rPr>
          <w:rFonts w:ascii="Arial" w:hAnsi="Arial" w:cs="Arial"/>
          <w:b/>
        </w:rPr>
      </w:pPr>
      <w:r w:rsidRPr="00AE1205">
        <w:rPr>
          <w:rFonts w:ascii="Arial" w:hAnsi="Arial" w:cs="Arial"/>
        </w:rPr>
        <w:t xml:space="preserve">Przewiduje się wyposażenie obiektu w gaśnicę </w:t>
      </w:r>
      <w:r w:rsidRPr="00AE1205">
        <w:rPr>
          <w:rFonts w:ascii="Arial" w:hAnsi="Arial" w:cs="Arial"/>
          <w:color w:val="000000"/>
        </w:rPr>
        <w:t>proszkową o masie nie mniejszej niż 4kg typu ABC</w:t>
      </w:r>
      <w:r w:rsidRPr="00AE1205">
        <w:rPr>
          <w:rFonts w:ascii="Arial" w:hAnsi="Arial" w:cs="Arial"/>
        </w:rPr>
        <w:t xml:space="preserve">. Miejsca lokalizacji gaśnicy będzie oznakowane zgodnie z Polską Normą PN-EN ISO 7010:2012. </w:t>
      </w:r>
    </w:p>
    <w:p w:rsidR="00A51097" w:rsidRPr="00AE1205" w:rsidRDefault="00A51097" w:rsidP="00A51097">
      <w:pPr>
        <w:pStyle w:val="Akapitzlist"/>
        <w:numPr>
          <w:ilvl w:val="1"/>
          <w:numId w:val="3"/>
        </w:numPr>
        <w:autoSpaceDE w:val="0"/>
        <w:autoSpaceDN w:val="0"/>
        <w:adjustRightInd w:val="0"/>
        <w:spacing w:before="120"/>
        <w:jc w:val="both"/>
        <w:rPr>
          <w:rFonts w:ascii="Arial" w:hAnsi="Arial" w:cs="Arial"/>
          <w:b/>
        </w:rPr>
      </w:pPr>
      <w:r w:rsidRPr="00AE1205">
        <w:rPr>
          <w:rFonts w:ascii="Arial" w:hAnsi="Arial" w:cs="Arial"/>
          <w:b/>
        </w:rPr>
        <w:t>Informacje o przygotowaniu obiektu budowlanego i terenu do prowadzenia działań ratowniczo-gaśniczych, a w szczególności informacje o drogach pożarowych, zaopatrzeniu w wodę do zewnętrznego gaszenia pożaru oraz o sprzęcie służącym do tych działań</w:t>
      </w:r>
    </w:p>
    <w:p w:rsidR="00A51097" w:rsidRPr="00AE1205" w:rsidRDefault="00A51097" w:rsidP="00A51097">
      <w:pPr>
        <w:pStyle w:val="Akapitzlist"/>
        <w:ind w:left="1418"/>
        <w:jc w:val="both"/>
        <w:rPr>
          <w:rFonts w:ascii="Arial" w:hAnsi="Arial" w:cs="Arial"/>
          <w:kern w:val="22"/>
        </w:rPr>
      </w:pPr>
      <w:r w:rsidRPr="00AE1205">
        <w:rPr>
          <w:rFonts w:ascii="Arial" w:hAnsi="Arial" w:cs="Arial"/>
          <w:kern w:val="22"/>
        </w:rPr>
        <w:t>Budynek nie wymaga doprowadzenia drogi pożarowej umożliwiającej dojazd pojazdom pożarniczym o każdej porze roku (budynek niski ZL III, o powierzchni strefy pożarowej poniżej 1000 m</w:t>
      </w:r>
      <w:r w:rsidRPr="00AE1205">
        <w:rPr>
          <w:rFonts w:ascii="Arial" w:hAnsi="Arial" w:cs="Arial"/>
          <w:kern w:val="22"/>
          <w:vertAlign w:val="superscript"/>
        </w:rPr>
        <w:t>2</w:t>
      </w:r>
      <w:r w:rsidRPr="00AE1205">
        <w:rPr>
          <w:rFonts w:ascii="Arial" w:hAnsi="Arial" w:cs="Arial"/>
          <w:kern w:val="22"/>
        </w:rPr>
        <w:t xml:space="preserve">). </w:t>
      </w:r>
      <w:r w:rsidRPr="00AE1205">
        <w:rPr>
          <w:rFonts w:ascii="Arial" w:hAnsi="Arial" w:cs="Arial"/>
        </w:rPr>
        <w:t>Zapewnia się dojazd do obiektu drogą prowadzącą do zamku.</w:t>
      </w:r>
    </w:p>
    <w:p w:rsidR="00A51097" w:rsidRPr="00AE1205" w:rsidRDefault="00A51097" w:rsidP="00A51097">
      <w:pPr>
        <w:pStyle w:val="Akapitzlist"/>
        <w:autoSpaceDE w:val="0"/>
        <w:autoSpaceDN w:val="0"/>
        <w:adjustRightInd w:val="0"/>
        <w:ind w:left="1418"/>
        <w:jc w:val="both"/>
        <w:rPr>
          <w:rFonts w:ascii="Arial" w:hAnsi="Arial" w:cs="Arial"/>
        </w:rPr>
      </w:pPr>
      <w:r w:rsidRPr="00AE1205">
        <w:rPr>
          <w:rFonts w:ascii="Arial" w:hAnsi="Arial" w:cs="Arial"/>
        </w:rPr>
        <w:t>Wymagane przeciwpożarowe zaopatrzenie w wodę do zewnętrznego gaszenia pożaru dla budynku wynosi 10 dm</w:t>
      </w:r>
      <w:r w:rsidRPr="00AE1205">
        <w:rPr>
          <w:rFonts w:ascii="Arial" w:hAnsi="Arial" w:cs="Arial"/>
          <w:vertAlign w:val="superscript"/>
        </w:rPr>
        <w:t>3</w:t>
      </w:r>
      <w:r w:rsidRPr="00AE1205">
        <w:rPr>
          <w:rFonts w:ascii="Arial" w:hAnsi="Arial" w:cs="Arial"/>
        </w:rPr>
        <w:t>/s.</w:t>
      </w:r>
      <w:r w:rsidRPr="00AE1205">
        <w:rPr>
          <w:rFonts w:ascii="Arial" w:hAnsi="Arial" w:cs="Arial"/>
          <w:color w:val="FF0000"/>
        </w:rPr>
        <w:t xml:space="preserve"> </w:t>
      </w:r>
      <w:r w:rsidRPr="00AE1205">
        <w:rPr>
          <w:rFonts w:ascii="Arial" w:hAnsi="Arial" w:cs="Arial"/>
        </w:rPr>
        <w:t>Z uwagi na brak w okolicy sieci hydrantowej oraz naturalnych lub sztucznych zbiorników wodnych przewiduje się lokalizację zbiornika wodnego o pojemności 100m³.</w:t>
      </w:r>
    </w:p>
    <w:p w:rsidR="00A51097" w:rsidRPr="00AE1205" w:rsidRDefault="00A51097" w:rsidP="00A51097">
      <w:pPr>
        <w:rPr>
          <w:rFonts w:ascii="Arial" w:hAnsi="Arial" w:cs="Arial"/>
        </w:rPr>
      </w:pPr>
    </w:p>
    <w:p w:rsidR="00A51097" w:rsidRPr="00AE1205" w:rsidRDefault="00A51097" w:rsidP="00A51097">
      <w:pPr>
        <w:rPr>
          <w:rFonts w:ascii="Arial" w:hAnsi="Arial" w:cs="Arial"/>
        </w:rPr>
      </w:pPr>
    </w:p>
    <w:p w:rsidR="00A51097" w:rsidRPr="004666DA" w:rsidRDefault="00A51097" w:rsidP="00A51097">
      <w:pPr>
        <w:rPr>
          <w:rFonts w:ascii="Arial" w:hAnsi="Arial" w:cs="Arial"/>
          <w:b/>
        </w:rPr>
      </w:pPr>
      <w:r>
        <w:rPr>
          <w:rFonts w:ascii="Arial" w:hAnsi="Arial" w:cs="Arial"/>
        </w:rPr>
        <w:tab/>
      </w:r>
      <w:r>
        <w:rPr>
          <w:rFonts w:ascii="Arial" w:hAnsi="Arial" w:cs="Arial"/>
        </w:rPr>
        <w:tab/>
      </w:r>
      <w:r w:rsidRPr="004666DA">
        <w:rPr>
          <w:rFonts w:ascii="Arial" w:hAnsi="Arial" w:cs="Arial"/>
          <w:b/>
        </w:rPr>
        <w:t xml:space="preserve">W sprawie odległości  budynku </w:t>
      </w:r>
      <w:r>
        <w:rPr>
          <w:rFonts w:ascii="Arial" w:hAnsi="Arial" w:cs="Arial"/>
          <w:b/>
        </w:rPr>
        <w:t xml:space="preserve"> </w:t>
      </w:r>
      <w:r w:rsidRPr="004666DA">
        <w:rPr>
          <w:rFonts w:ascii="Arial" w:hAnsi="Arial" w:cs="Arial"/>
          <w:b/>
        </w:rPr>
        <w:t xml:space="preserve">POT od granic lasu </w:t>
      </w:r>
    </w:p>
    <w:p w:rsidR="00A51097" w:rsidRPr="004666DA" w:rsidRDefault="00A51097" w:rsidP="00A51097">
      <w:pPr>
        <w:rPr>
          <w:rFonts w:ascii="Arial" w:hAnsi="Arial" w:cs="Arial"/>
          <w:b/>
        </w:rPr>
      </w:pPr>
      <w:r w:rsidRPr="004666DA">
        <w:rPr>
          <w:rFonts w:ascii="Arial" w:hAnsi="Arial" w:cs="Arial"/>
          <w:b/>
        </w:rPr>
        <w:t xml:space="preserve">                     Małopolski Komendant Wojewódzki Państwowej Straży Pożarnej</w:t>
      </w:r>
    </w:p>
    <w:p w:rsidR="00A51097" w:rsidRDefault="00A51097" w:rsidP="00A51097">
      <w:pPr>
        <w:rPr>
          <w:rFonts w:ascii="Arial" w:hAnsi="Arial" w:cs="Arial"/>
          <w:b/>
        </w:rPr>
      </w:pPr>
      <w:r w:rsidRPr="004666DA">
        <w:rPr>
          <w:rFonts w:ascii="Arial" w:hAnsi="Arial" w:cs="Arial"/>
          <w:b/>
        </w:rPr>
        <w:tab/>
        <w:t xml:space="preserve">          wydał postanowienie</w:t>
      </w:r>
      <w:r>
        <w:rPr>
          <w:rFonts w:ascii="Arial" w:hAnsi="Arial" w:cs="Arial"/>
          <w:b/>
        </w:rPr>
        <w:t xml:space="preserve">  z dn. 12 08.2016r. w którym wyraził zgodę</w:t>
      </w:r>
    </w:p>
    <w:p w:rsidR="00A51097" w:rsidRDefault="00A51097" w:rsidP="00A51097">
      <w:pPr>
        <w:rPr>
          <w:rFonts w:ascii="Arial" w:hAnsi="Arial" w:cs="Arial"/>
          <w:b/>
        </w:rPr>
      </w:pPr>
      <w:r>
        <w:rPr>
          <w:rFonts w:ascii="Arial" w:hAnsi="Arial" w:cs="Arial"/>
          <w:b/>
        </w:rPr>
        <w:t xml:space="preserve">                     na zbliżenie do  granicy lasu pod warunkiem :</w:t>
      </w:r>
    </w:p>
    <w:p w:rsidR="00A51097" w:rsidRDefault="00A51097" w:rsidP="00A51097">
      <w:pPr>
        <w:rPr>
          <w:rFonts w:ascii="Arial" w:hAnsi="Arial" w:cs="Arial"/>
          <w:b/>
        </w:rPr>
      </w:pPr>
    </w:p>
    <w:p w:rsidR="00A51097" w:rsidRDefault="00A51097" w:rsidP="00A51097">
      <w:pPr>
        <w:numPr>
          <w:ilvl w:val="0"/>
          <w:numId w:val="5"/>
        </w:numPr>
        <w:rPr>
          <w:rFonts w:ascii="Arial" w:hAnsi="Arial" w:cs="Arial"/>
          <w:b/>
        </w:rPr>
      </w:pPr>
      <w:r>
        <w:rPr>
          <w:rFonts w:ascii="Arial" w:hAnsi="Arial" w:cs="Arial"/>
          <w:b/>
        </w:rPr>
        <w:t>Zastosowania ściany oddzielenia przeciwpożarowego o klasie odporności ogniowej REI60 od strony budynku do granicy z działką leśną.</w:t>
      </w:r>
    </w:p>
    <w:p w:rsidR="00A51097" w:rsidRDefault="00A51097" w:rsidP="00A51097">
      <w:pPr>
        <w:numPr>
          <w:ilvl w:val="0"/>
          <w:numId w:val="5"/>
        </w:numPr>
        <w:rPr>
          <w:rFonts w:ascii="Arial" w:hAnsi="Arial" w:cs="Arial"/>
          <w:b/>
        </w:rPr>
      </w:pPr>
      <w:r>
        <w:rPr>
          <w:rFonts w:ascii="Arial" w:hAnsi="Arial" w:cs="Arial"/>
          <w:b/>
        </w:rPr>
        <w:lastRenderedPageBreak/>
        <w:t>Podniesienia klasy odporności pożarowej rozpatrywanego budynku z wymaganej – obiekt będzie spełniał wymagania jak dla „B” klasy odporności pożarowej.</w:t>
      </w:r>
    </w:p>
    <w:p w:rsidR="00A51097" w:rsidRDefault="00A51097" w:rsidP="00A51097">
      <w:pPr>
        <w:numPr>
          <w:ilvl w:val="0"/>
          <w:numId w:val="5"/>
        </w:numPr>
        <w:rPr>
          <w:rFonts w:ascii="Arial" w:hAnsi="Arial" w:cs="Arial"/>
          <w:b/>
        </w:rPr>
      </w:pPr>
      <w:r>
        <w:rPr>
          <w:rFonts w:ascii="Arial" w:hAnsi="Arial" w:cs="Arial"/>
          <w:b/>
        </w:rPr>
        <w:t xml:space="preserve">Wyposażenia budynku w gaśnice proszkowe ABC przy zachowaniu wskaźnika – jednostka środka gaśniczego 6kg na każde 100 </w:t>
      </w:r>
      <w:proofErr w:type="spellStart"/>
      <w:r>
        <w:rPr>
          <w:rFonts w:ascii="Arial" w:hAnsi="Arial" w:cs="Arial"/>
          <w:b/>
        </w:rPr>
        <w:t>m²</w:t>
      </w:r>
      <w:proofErr w:type="spellEnd"/>
    </w:p>
    <w:p w:rsidR="00A51097" w:rsidRDefault="00A51097" w:rsidP="00A51097">
      <w:pPr>
        <w:numPr>
          <w:ilvl w:val="0"/>
          <w:numId w:val="5"/>
        </w:numPr>
        <w:rPr>
          <w:rFonts w:ascii="Arial" w:hAnsi="Arial" w:cs="Arial"/>
          <w:b/>
        </w:rPr>
      </w:pPr>
      <w:r>
        <w:rPr>
          <w:rFonts w:ascii="Arial" w:hAnsi="Arial" w:cs="Arial"/>
          <w:b/>
        </w:rPr>
        <w:t>Utworzenie punktów sprzętu gaśniczego wyposażonych w agregat proszkowy, piasek, tłumice, bosak.</w:t>
      </w:r>
    </w:p>
    <w:p w:rsidR="00A51097" w:rsidRDefault="00A51097" w:rsidP="00A51097">
      <w:pPr>
        <w:numPr>
          <w:ilvl w:val="0"/>
          <w:numId w:val="5"/>
        </w:numPr>
        <w:rPr>
          <w:rFonts w:ascii="Arial" w:hAnsi="Arial" w:cs="Arial"/>
          <w:b/>
        </w:rPr>
      </w:pPr>
      <w:r>
        <w:rPr>
          <w:rFonts w:ascii="Arial" w:hAnsi="Arial" w:cs="Arial"/>
          <w:b/>
        </w:rPr>
        <w:t>Wyposażenie budynku w przeciwpożarowy wyłącznik prądu.</w:t>
      </w:r>
    </w:p>
    <w:p w:rsidR="00A51097" w:rsidRDefault="00A51097" w:rsidP="00A51097">
      <w:pPr>
        <w:numPr>
          <w:ilvl w:val="0"/>
          <w:numId w:val="5"/>
        </w:numPr>
        <w:rPr>
          <w:rFonts w:ascii="Arial" w:hAnsi="Arial" w:cs="Arial"/>
          <w:b/>
        </w:rPr>
      </w:pPr>
      <w:r>
        <w:rPr>
          <w:rFonts w:ascii="Arial" w:hAnsi="Arial" w:cs="Arial"/>
          <w:b/>
        </w:rPr>
        <w:t>Wyposażenie budynku w hydrant HP25 z wężem półsztywnym.</w:t>
      </w:r>
    </w:p>
    <w:p w:rsidR="00A51097" w:rsidRPr="004666DA" w:rsidRDefault="00A51097" w:rsidP="00A51097">
      <w:pPr>
        <w:numPr>
          <w:ilvl w:val="0"/>
          <w:numId w:val="5"/>
        </w:numPr>
        <w:rPr>
          <w:rFonts w:ascii="Arial" w:hAnsi="Arial" w:cs="Arial"/>
          <w:b/>
        </w:rPr>
      </w:pPr>
      <w:r>
        <w:rPr>
          <w:rFonts w:ascii="Arial" w:hAnsi="Arial" w:cs="Arial"/>
          <w:b/>
        </w:rPr>
        <w:t>Opracowanie dla obiektu Punktu Obsługi Turystów Instrukcji Bezpieczeństwa Pożarowego.</w:t>
      </w:r>
    </w:p>
    <w:p w:rsidR="00A51097" w:rsidRPr="00AE1205" w:rsidRDefault="00A51097" w:rsidP="00A51097">
      <w:pPr>
        <w:rPr>
          <w:rFonts w:ascii="Arial" w:hAnsi="Arial" w:cs="Arial"/>
        </w:rPr>
      </w:pPr>
    </w:p>
    <w:p w:rsidR="00A51097" w:rsidRPr="00AE1205" w:rsidRDefault="00A51097" w:rsidP="00A51097">
      <w:pPr>
        <w:rPr>
          <w:rFonts w:ascii="Arial" w:hAnsi="Arial" w:cs="Arial"/>
        </w:rPr>
      </w:pPr>
    </w:p>
    <w:p w:rsidR="00E57322" w:rsidRDefault="00E57322"/>
    <w:sectPr w:rsidR="00E57322" w:rsidSect="00E5732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097" w:rsidRDefault="00A51097" w:rsidP="00A51097">
      <w:r>
        <w:separator/>
      </w:r>
    </w:p>
  </w:endnote>
  <w:endnote w:type="continuationSeparator" w:id="0">
    <w:p w:rsidR="00A51097" w:rsidRDefault="00A51097" w:rsidP="00A510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097" w:rsidRDefault="00A51097" w:rsidP="00A51097">
      <w:r>
        <w:separator/>
      </w:r>
    </w:p>
  </w:footnote>
  <w:footnote w:type="continuationSeparator" w:id="0">
    <w:p w:rsidR="00A51097" w:rsidRDefault="00A51097" w:rsidP="00A51097">
      <w:r>
        <w:continuationSeparator/>
      </w:r>
    </w:p>
  </w:footnote>
  <w:footnote w:id="1">
    <w:p w:rsidR="00A51097" w:rsidRPr="000931B7" w:rsidRDefault="00A51097" w:rsidP="00A51097">
      <w:pPr>
        <w:pStyle w:val="Tekstprzypisudolnego"/>
        <w:jc w:val="both"/>
        <w:rPr>
          <w:rFonts w:ascii="Arial" w:hAnsi="Arial" w:cs="Arial"/>
          <w:sz w:val="18"/>
          <w:szCs w:val="18"/>
        </w:rPr>
      </w:pPr>
      <w:r w:rsidRPr="000931B7">
        <w:rPr>
          <w:rStyle w:val="Odwoanieprzypisudolnego"/>
          <w:rFonts w:ascii="Arial" w:hAnsi="Arial" w:cs="Arial"/>
          <w:sz w:val="18"/>
          <w:szCs w:val="18"/>
        </w:rPr>
        <w:footnoteRef/>
      </w:r>
      <w:r w:rsidRPr="000931B7">
        <w:rPr>
          <w:rFonts w:ascii="Arial" w:hAnsi="Arial" w:cs="Arial"/>
          <w:sz w:val="18"/>
          <w:szCs w:val="18"/>
        </w:rPr>
        <w:t xml:space="preserve"> materiały pożarowo niebezpieczne – rozumie się przez to gazy palne, ciecze palne o temperaturze zapłonu poniżej 55</w:t>
      </w:r>
      <w:r w:rsidRPr="000931B7">
        <w:rPr>
          <w:rFonts w:ascii="Arial" w:hAnsi="Arial" w:cs="Arial"/>
          <w:sz w:val="18"/>
          <w:szCs w:val="18"/>
          <w:vertAlign w:val="superscript"/>
        </w:rPr>
        <w:t>0</w:t>
      </w:r>
      <w:r w:rsidRPr="000931B7">
        <w:rPr>
          <w:rFonts w:ascii="Arial" w:hAnsi="Arial" w:cs="Arial"/>
          <w:sz w:val="18"/>
          <w:szCs w:val="18"/>
        </w:rPr>
        <w:t>C, materiały wytwarzające w zetknięciu z wodą gazy palne, materiały zapalające się samorzutnie na powietrzu, materiały wybuchowe i pirotechniczne, materiały ulegające samorzutnemu rozkładowi lub polimeryzacji oraz materiały mające skłonności do samozapalenia.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87111"/>
    <w:multiLevelType w:val="multilevel"/>
    <w:tmpl w:val="BCF698D4"/>
    <w:lvl w:ilvl="0">
      <w:start w:val="8"/>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1">
    <w:nsid w:val="23134A69"/>
    <w:multiLevelType w:val="hybridMultilevel"/>
    <w:tmpl w:val="D0F866B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
    <w:nsid w:val="31972515"/>
    <w:multiLevelType w:val="hybridMultilevel"/>
    <w:tmpl w:val="33F48674"/>
    <w:lvl w:ilvl="0" w:tplc="2C5627C6">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
    <w:nsid w:val="588F2F55"/>
    <w:multiLevelType w:val="hybridMultilevel"/>
    <w:tmpl w:val="00A2B61E"/>
    <w:lvl w:ilvl="0" w:tplc="27F07362">
      <w:start w:val="1"/>
      <w:numFmt w:val="bullet"/>
      <w:lvlText w:val=""/>
      <w:lvlJc w:val="left"/>
      <w:pPr>
        <w:ind w:left="4238" w:hanging="360"/>
      </w:pPr>
      <w:rPr>
        <w:rFonts w:ascii="Symbol" w:hAnsi="Symbol" w:hint="default"/>
        <w:vertAlign w:val="baseline"/>
      </w:rPr>
    </w:lvl>
    <w:lvl w:ilvl="1" w:tplc="04150003" w:tentative="1">
      <w:start w:val="1"/>
      <w:numFmt w:val="bullet"/>
      <w:lvlText w:val="o"/>
      <w:lvlJc w:val="left"/>
      <w:pPr>
        <w:ind w:left="2858" w:hanging="360"/>
      </w:pPr>
      <w:rPr>
        <w:rFonts w:ascii="Courier New" w:hAnsi="Courier New" w:cs="Courier New" w:hint="default"/>
      </w:rPr>
    </w:lvl>
    <w:lvl w:ilvl="2" w:tplc="04150001">
      <w:start w:val="1"/>
      <w:numFmt w:val="bullet"/>
      <w:lvlText w:val=""/>
      <w:lvlJc w:val="left"/>
      <w:pPr>
        <w:ind w:left="3578" w:hanging="360"/>
      </w:pPr>
      <w:rPr>
        <w:rFonts w:ascii="Symbol" w:hAnsi="Symbol"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
    <w:nsid w:val="7F5123F1"/>
    <w:multiLevelType w:val="hybridMultilevel"/>
    <w:tmpl w:val="D18CA4BC"/>
    <w:lvl w:ilvl="0" w:tplc="27F07362">
      <w:start w:val="1"/>
      <w:numFmt w:val="bullet"/>
      <w:lvlText w:val=""/>
      <w:lvlJc w:val="left"/>
      <w:pPr>
        <w:ind w:left="2820" w:hanging="360"/>
      </w:pPr>
      <w:rPr>
        <w:rFonts w:ascii="Symbol" w:hAnsi="Symbol" w:hint="default"/>
        <w:vertAlign w:val="baseline"/>
      </w:rPr>
    </w:lvl>
    <w:lvl w:ilvl="1" w:tplc="04150003" w:tentative="1">
      <w:start w:val="1"/>
      <w:numFmt w:val="bullet"/>
      <w:lvlText w:val="o"/>
      <w:lvlJc w:val="left"/>
      <w:pPr>
        <w:ind w:left="3540" w:hanging="360"/>
      </w:pPr>
      <w:rPr>
        <w:rFonts w:ascii="Courier New" w:hAnsi="Courier New" w:cs="Courier New" w:hint="default"/>
      </w:rPr>
    </w:lvl>
    <w:lvl w:ilvl="2" w:tplc="04150005" w:tentative="1">
      <w:start w:val="1"/>
      <w:numFmt w:val="bullet"/>
      <w:lvlText w:val=""/>
      <w:lvlJc w:val="left"/>
      <w:pPr>
        <w:ind w:left="4260" w:hanging="360"/>
      </w:pPr>
      <w:rPr>
        <w:rFonts w:ascii="Wingdings" w:hAnsi="Wingdings" w:hint="default"/>
      </w:rPr>
    </w:lvl>
    <w:lvl w:ilvl="3" w:tplc="04150001" w:tentative="1">
      <w:start w:val="1"/>
      <w:numFmt w:val="bullet"/>
      <w:lvlText w:val=""/>
      <w:lvlJc w:val="left"/>
      <w:pPr>
        <w:ind w:left="4980" w:hanging="360"/>
      </w:pPr>
      <w:rPr>
        <w:rFonts w:ascii="Symbol" w:hAnsi="Symbol" w:hint="default"/>
      </w:rPr>
    </w:lvl>
    <w:lvl w:ilvl="4" w:tplc="04150003" w:tentative="1">
      <w:start w:val="1"/>
      <w:numFmt w:val="bullet"/>
      <w:lvlText w:val="o"/>
      <w:lvlJc w:val="left"/>
      <w:pPr>
        <w:ind w:left="5700" w:hanging="360"/>
      </w:pPr>
      <w:rPr>
        <w:rFonts w:ascii="Courier New" w:hAnsi="Courier New" w:cs="Courier New" w:hint="default"/>
      </w:rPr>
    </w:lvl>
    <w:lvl w:ilvl="5" w:tplc="04150005" w:tentative="1">
      <w:start w:val="1"/>
      <w:numFmt w:val="bullet"/>
      <w:lvlText w:val=""/>
      <w:lvlJc w:val="left"/>
      <w:pPr>
        <w:ind w:left="6420" w:hanging="360"/>
      </w:pPr>
      <w:rPr>
        <w:rFonts w:ascii="Wingdings" w:hAnsi="Wingdings" w:hint="default"/>
      </w:rPr>
    </w:lvl>
    <w:lvl w:ilvl="6" w:tplc="04150001" w:tentative="1">
      <w:start w:val="1"/>
      <w:numFmt w:val="bullet"/>
      <w:lvlText w:val=""/>
      <w:lvlJc w:val="left"/>
      <w:pPr>
        <w:ind w:left="7140" w:hanging="360"/>
      </w:pPr>
      <w:rPr>
        <w:rFonts w:ascii="Symbol" w:hAnsi="Symbol" w:hint="default"/>
      </w:rPr>
    </w:lvl>
    <w:lvl w:ilvl="7" w:tplc="04150003" w:tentative="1">
      <w:start w:val="1"/>
      <w:numFmt w:val="bullet"/>
      <w:lvlText w:val="o"/>
      <w:lvlJc w:val="left"/>
      <w:pPr>
        <w:ind w:left="7860" w:hanging="360"/>
      </w:pPr>
      <w:rPr>
        <w:rFonts w:ascii="Courier New" w:hAnsi="Courier New" w:cs="Courier New" w:hint="default"/>
      </w:rPr>
    </w:lvl>
    <w:lvl w:ilvl="8" w:tplc="04150005" w:tentative="1">
      <w:start w:val="1"/>
      <w:numFmt w:val="bullet"/>
      <w:lvlText w:val=""/>
      <w:lvlJc w:val="left"/>
      <w:pPr>
        <w:ind w:left="85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revisionView w:inkAnnotations="0"/>
  <w:defaultTabStop w:val="708"/>
  <w:hyphenationZone w:val="425"/>
  <w:characterSpacingControl w:val="doNotCompress"/>
  <w:footnotePr>
    <w:footnote w:id="-1"/>
    <w:footnote w:id="0"/>
  </w:footnotePr>
  <w:endnotePr>
    <w:endnote w:id="-1"/>
    <w:endnote w:id="0"/>
  </w:endnotePr>
  <w:compat/>
  <w:rsids>
    <w:rsidRoot w:val="00A51097"/>
    <w:rsid w:val="006F409E"/>
    <w:rsid w:val="0076760A"/>
    <w:rsid w:val="00A51097"/>
    <w:rsid w:val="00E5732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51097"/>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rsid w:val="00A51097"/>
    <w:rPr>
      <w:sz w:val="20"/>
      <w:szCs w:val="20"/>
    </w:rPr>
  </w:style>
  <w:style w:type="character" w:customStyle="1" w:styleId="TekstprzypisudolnegoZnak">
    <w:name w:val="Tekst przypisu dolnego Znak"/>
    <w:basedOn w:val="Domylnaczcionkaakapitu"/>
    <w:link w:val="Tekstprzypisudolnego"/>
    <w:rsid w:val="00A51097"/>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A51097"/>
    <w:rPr>
      <w:vertAlign w:val="superscript"/>
    </w:rPr>
  </w:style>
  <w:style w:type="paragraph" w:styleId="Tekstpodstawowywcity3">
    <w:name w:val="Body Text Indent 3"/>
    <w:basedOn w:val="Normalny"/>
    <w:link w:val="Tekstpodstawowywcity3Znak"/>
    <w:semiHidden/>
    <w:rsid w:val="00A51097"/>
    <w:pPr>
      <w:ind w:firstLine="708"/>
      <w:jc w:val="both"/>
    </w:pPr>
  </w:style>
  <w:style w:type="character" w:customStyle="1" w:styleId="Tekstpodstawowywcity3Znak">
    <w:name w:val="Tekst podstawowy wcięty 3 Znak"/>
    <w:basedOn w:val="Domylnaczcionkaakapitu"/>
    <w:link w:val="Tekstpodstawowywcity3"/>
    <w:semiHidden/>
    <w:rsid w:val="00A51097"/>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A51097"/>
    <w:pPr>
      <w:ind w:left="708"/>
    </w:pPr>
  </w:style>
  <w:style w:type="paragraph" w:customStyle="1" w:styleId="standard">
    <w:name w:val="standard"/>
    <w:basedOn w:val="Normalny"/>
    <w:rsid w:val="00A51097"/>
    <w:rPr>
      <w:color w:val="00000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994</Words>
  <Characters>5967</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2018-02-15T15:05:00Z</dcterms:created>
  <dcterms:modified xsi:type="dcterms:W3CDTF">2018-02-15T15:25:00Z</dcterms:modified>
</cp:coreProperties>
</file>